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894BE12" w14:textId="235AE71E" w:rsidR="00031026" w:rsidRPr="00366EE1" w:rsidRDefault="002D06A8" w:rsidP="00395988">
      <w:pPr>
        <w:spacing w:line="240" w:lineRule="auto"/>
        <w:rPr>
          <w:rFonts w:ascii="Calibri" w:hAnsi="Calibri" w:cs="Calibri"/>
          <w:sz w:val="20"/>
          <w:szCs w:val="20"/>
        </w:rPr>
      </w:pPr>
      <w:r w:rsidRPr="00366EE1">
        <w:rPr>
          <w:rFonts w:ascii="Calibri" w:hAnsi="Calibri" w:cs="Calibri"/>
          <w:noProof/>
          <w:sz w:val="20"/>
          <w:szCs w:val="20"/>
        </w:rPr>
        <w:drawing>
          <wp:anchor distT="0" distB="0" distL="114300" distR="114300" simplePos="0" relativeHeight="251658240" behindDoc="0" locked="0" layoutInCell="1" allowOverlap="1" wp14:anchorId="323E3C07" wp14:editId="79CFAB96">
            <wp:simplePos x="0" y="0"/>
            <wp:positionH relativeFrom="column">
              <wp:posOffset>4814269</wp:posOffset>
            </wp:positionH>
            <wp:positionV relativeFrom="paragraph">
              <wp:posOffset>-8255</wp:posOffset>
            </wp:positionV>
            <wp:extent cx="977774" cy="977774"/>
            <wp:effectExtent l="0" t="0" r="635" b="635"/>
            <wp:wrapNone/>
            <wp:docPr id="2129294282" name="Picture 2" descr="Office of the President (Taiwa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294282" name="Picture 2" descr="Office of the President (Taiwan) - Wikipedia"/>
                    <pic:cNvPicPr>
                      <a:picLocks noChangeAspect="1"/>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977774" cy="977774"/>
                    </a:xfrm>
                    <a:prstGeom prst="rect">
                      <a:avLst/>
                    </a:prstGeom>
                  </pic:spPr>
                </pic:pic>
              </a:graphicData>
            </a:graphic>
            <wp14:sizeRelH relativeFrom="page">
              <wp14:pctWidth>0</wp14:pctWidth>
            </wp14:sizeRelH>
            <wp14:sizeRelV relativeFrom="page">
              <wp14:pctHeight>0</wp14:pctHeight>
            </wp14:sizeRelV>
          </wp:anchor>
        </w:drawing>
      </w:r>
      <w:r w:rsidR="00D11A96" w:rsidRPr="00366EE1">
        <w:rPr>
          <w:rFonts w:ascii="Calibri" w:hAnsi="Calibri" w:cs="Calibri"/>
          <w:sz w:val="20"/>
          <w:szCs w:val="20"/>
        </w:rPr>
        <w:t>From the Desk of the Honorable Victoria Boatman</w:t>
      </w:r>
    </w:p>
    <w:p w14:paraId="180CB0FA" w14:textId="2A781F2A" w:rsidR="00D11A96" w:rsidRPr="00366EE1" w:rsidRDefault="00D11A96" w:rsidP="00395988">
      <w:pPr>
        <w:spacing w:line="240" w:lineRule="auto"/>
        <w:rPr>
          <w:rFonts w:ascii="Calibri" w:hAnsi="Calibri" w:cs="Calibri"/>
          <w:sz w:val="20"/>
          <w:szCs w:val="20"/>
        </w:rPr>
      </w:pPr>
      <w:r w:rsidRPr="00366EE1">
        <w:rPr>
          <w:rFonts w:ascii="Calibri" w:hAnsi="Calibri" w:cs="Calibri"/>
          <w:sz w:val="20"/>
          <w:szCs w:val="20"/>
        </w:rPr>
        <w:t>Minister of Foreign Affairs</w:t>
      </w:r>
    </w:p>
    <w:p w14:paraId="26E89522" w14:textId="4E40BBAD" w:rsidR="00D11A96" w:rsidRPr="00366EE1" w:rsidRDefault="00D11A96" w:rsidP="00395988">
      <w:pPr>
        <w:spacing w:line="240" w:lineRule="auto"/>
        <w:rPr>
          <w:rFonts w:ascii="Calibri" w:hAnsi="Calibri" w:cs="Calibri"/>
          <w:sz w:val="20"/>
          <w:szCs w:val="20"/>
        </w:rPr>
      </w:pPr>
      <w:r w:rsidRPr="00366EE1">
        <w:rPr>
          <w:rFonts w:ascii="Calibri" w:hAnsi="Calibri" w:cs="Calibri"/>
          <w:sz w:val="20"/>
          <w:szCs w:val="20"/>
        </w:rPr>
        <w:t>Ministry of Foreign Affairs</w:t>
      </w:r>
    </w:p>
    <w:p w14:paraId="676DB9AF" w14:textId="7A34E13F" w:rsidR="00D11A96" w:rsidRDefault="00D11A96">
      <w:pPr>
        <w:rPr>
          <w:sz w:val="20"/>
          <w:szCs w:val="20"/>
        </w:rPr>
      </w:pPr>
    </w:p>
    <w:p w14:paraId="75023345" w14:textId="16F3ECBE" w:rsidR="00D11A96" w:rsidRDefault="00D11A96">
      <w:pPr>
        <w:rPr>
          <w:sz w:val="20"/>
          <w:szCs w:val="20"/>
        </w:rPr>
      </w:pPr>
    </w:p>
    <w:p w14:paraId="76CED3D5" w14:textId="5AF9D852" w:rsidR="00366EE1" w:rsidRPr="00395988" w:rsidRDefault="00395988" w:rsidP="00395988">
      <w:pPr>
        <w:jc w:val="center"/>
        <w:rPr>
          <w:rFonts w:ascii="Calibri" w:hAnsi="Calibri" w:cs="Calibri"/>
          <w:b/>
          <w:bCs/>
          <w:sz w:val="20"/>
          <w:szCs w:val="20"/>
        </w:rPr>
      </w:pPr>
      <w:r>
        <w:rPr>
          <w:noProof/>
        </w:rPr>
        <mc:AlternateContent>
          <mc:Choice Requires="wps">
            <w:drawing>
              <wp:anchor distT="0" distB="0" distL="114300" distR="114300" simplePos="0" relativeHeight="251660288" behindDoc="0" locked="0" layoutInCell="1" allowOverlap="1" wp14:anchorId="2175A1B0" wp14:editId="3B81799B">
                <wp:simplePos x="0" y="0"/>
                <wp:positionH relativeFrom="column">
                  <wp:posOffset>231140</wp:posOffset>
                </wp:positionH>
                <wp:positionV relativeFrom="paragraph">
                  <wp:posOffset>269641</wp:posOffset>
                </wp:positionV>
                <wp:extent cx="5507990" cy="1033780"/>
                <wp:effectExtent l="0" t="0" r="16510" b="7620"/>
                <wp:wrapSquare wrapText="bothSides"/>
                <wp:docPr id="2" name="Text Box 2"/>
                <wp:cNvGraphicFramePr/>
                <a:graphic xmlns:a="http://schemas.openxmlformats.org/drawingml/2006/main">
                  <a:graphicData uri="http://schemas.microsoft.com/office/word/2010/wordprocessingShape">
                    <wps:wsp>
                      <wps:cNvSpPr txBox="1"/>
                      <wps:spPr>
                        <a:xfrm>
                          <a:off x="0" y="0"/>
                          <a:ext cx="5507990" cy="1033780"/>
                        </a:xfrm>
                        <a:prstGeom prst="rect">
                          <a:avLst/>
                        </a:prstGeom>
                        <a:solidFill>
                          <a:schemeClr val="tx1">
                            <a:alpha val="7000"/>
                          </a:schemeClr>
                        </a:solidFill>
                        <a:ln w="3175">
                          <a:solidFill>
                            <a:prstClr val="black"/>
                          </a:solidFill>
                        </a:ln>
                      </wps:spPr>
                      <wps:txbx>
                        <w:txbxContent>
                          <w:p w14:paraId="4172E86E" w14:textId="414EA888" w:rsidR="009B5577" w:rsidRPr="009B5577" w:rsidRDefault="009B5577" w:rsidP="00395988">
                            <w:pPr>
                              <w:jc w:val="center"/>
                              <w:rPr>
                                <w:rFonts w:ascii="Calibri" w:hAnsi="Calibri" w:cs="Calibri"/>
                                <w:i/>
                                <w:iCs/>
                                <w:color w:val="000000" w:themeColor="text1"/>
                                <w:sz w:val="20"/>
                                <w:szCs w:val="20"/>
                              </w:rPr>
                            </w:pPr>
                            <w:r w:rsidRPr="009B5577">
                              <w:rPr>
                                <w:rFonts w:ascii="Calibri" w:hAnsi="Calibri" w:cs="Calibri"/>
                                <w:i/>
                                <w:iCs/>
                                <w:color w:val="000000" w:themeColor="text1"/>
                                <w:sz w:val="20"/>
                                <w:szCs w:val="20"/>
                              </w:rPr>
                              <w:t>“Through diplomatic engagement, economic cooperation, and partnerships with democratic nations, Taiwan seeks to protect its sovereignty and preserve regional stability. We advocate for meaningful participation in international organizations, promote human rights, and contribute to global development and humanitarian efforts. Our commitment to peace across the Taiwan Strait is grounded in the belief that Taiwan’s future must be determined by its people.”</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75A1B0" id="_x0000_t202" coordsize="21600,21600" o:spt="202" path="m,l,21600r21600,l21600,xe">
                <v:stroke joinstyle="miter"/>
                <v:path gradientshapeok="t" o:connecttype="rect"/>
              </v:shapetype>
              <v:shape id="Text Box 2" o:spid="_x0000_s1026" type="#_x0000_t202" style="position:absolute;left:0;text-align:left;margin-left:18.2pt;margin-top:21.25pt;width:433.7pt;height:8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" fillcolor="black [3213]" strokeweight=".25pt">
                <v:fill opacity="4626f"/>
                <v:textbox inset=",0,,0">
                  <w:txbxContent>
                    <w:p w14:paraId="4172E86E" w14:textId="414EA888" w:rsidR="009B5577" w:rsidRPr="009B5577" w:rsidRDefault="009B5577" w:rsidP="00395988">
                      <w:pPr>
                        <w:jc w:val="center"/>
                        <w:rPr>
                          <w:rFonts w:ascii="Calibri" w:hAnsi="Calibri" w:cs="Calibri"/>
                          <w:i/>
                          <w:iCs/>
                          <w:color w:val="000000" w:themeColor="text1"/>
                          <w:sz w:val="20"/>
                          <w:szCs w:val="20"/>
                        </w:rPr>
                      </w:pPr>
                      <w:r w:rsidRPr="009B5577">
                        <w:rPr>
                          <w:rFonts w:ascii="Calibri" w:hAnsi="Calibri" w:cs="Calibri"/>
                          <w:i/>
                          <w:iCs/>
                          <w:color w:val="000000" w:themeColor="text1"/>
                          <w:sz w:val="20"/>
                          <w:szCs w:val="20"/>
                        </w:rPr>
                        <w:t>“Through diplomatic engagement, economic cooperation, and partnerships with democratic nations, Taiwan seeks to protect its sovereignty and preserve regional stability. We advocate for meaningful participation in international organizations, promote human rights, and contribute to global development and humanitarian efforts. Our commitment to peace across the Taiwan Strait is grounded in the belief that Taiwan’s future must be determined by its people.”</w:t>
                      </w:r>
                    </w:p>
                  </w:txbxContent>
                </v:textbox>
                <w10:wrap type="square"/>
              </v:shape>
            </w:pict>
          </mc:Fallback>
        </mc:AlternateContent>
      </w:r>
      <w:r w:rsidR="00D11A96" w:rsidRPr="00366EE1">
        <w:rPr>
          <w:rFonts w:ascii="Calibri" w:hAnsi="Calibri" w:cs="Calibri"/>
          <w:b/>
          <w:bCs/>
          <w:sz w:val="20"/>
          <w:szCs w:val="20"/>
        </w:rPr>
        <w:t>REPUBLIC OF CHINA (TAIWAN)</w:t>
      </w:r>
    </w:p>
    <w:p w14:paraId="4F3659F0" w14:textId="77777777" w:rsidR="009B5577" w:rsidRPr="00366EE1" w:rsidRDefault="009B5577" w:rsidP="00395988">
      <w:pPr>
        <w:rPr>
          <w:rFonts w:ascii="Calibri" w:hAnsi="Calibri" w:cs="Calibri"/>
          <w:i/>
          <w:iCs/>
          <w:sz w:val="22"/>
          <w:szCs w:val="22"/>
        </w:rPr>
      </w:pPr>
    </w:p>
    <w:p w14:paraId="6B19CAE7" w14:textId="53AD5D0E" w:rsidR="00366EE1" w:rsidRPr="00366EE1" w:rsidRDefault="00066F76" w:rsidP="00366EE1">
      <w:pPr>
        <w:spacing w:line="276" w:lineRule="auto"/>
        <w:rPr>
          <w:rFonts w:ascii="Calibri" w:hAnsi="Calibri" w:cs="Calibri"/>
          <w:b/>
          <w:bCs/>
          <w:kern w:val="0"/>
          <w:sz w:val="22"/>
          <w:szCs w:val="22"/>
          <w14:ligatures w14:val="none"/>
        </w:rPr>
      </w:pPr>
      <w:r w:rsidRPr="00366EE1">
        <w:rPr>
          <w:rFonts w:ascii="Calibri" w:hAnsi="Calibri" w:cs="Calibri"/>
          <w:b/>
          <w:bCs/>
          <w:kern w:val="0"/>
          <w:sz w:val="22"/>
          <w:szCs w:val="22"/>
          <w14:ligatures w14:val="none"/>
        </w:rPr>
        <w:t xml:space="preserve">The Republic of China (Taiwan) is a self-governing democracy committed to </w:t>
      </w:r>
      <w:r w:rsidR="00DE24E9">
        <w:rPr>
          <w:rFonts w:ascii="Calibri" w:hAnsi="Calibri" w:cs="Calibri"/>
          <w:b/>
          <w:bCs/>
          <w:kern w:val="0"/>
          <w:sz w:val="22"/>
          <w:szCs w:val="22"/>
          <w14:ligatures w14:val="none"/>
        </w:rPr>
        <w:t>safeguard</w:t>
      </w:r>
      <w:r w:rsidRPr="00366EE1">
        <w:rPr>
          <w:rFonts w:ascii="Calibri" w:hAnsi="Calibri" w:cs="Calibri"/>
          <w:b/>
          <w:bCs/>
          <w:kern w:val="0"/>
          <w:sz w:val="22"/>
          <w:szCs w:val="22"/>
          <w14:ligatures w14:val="none"/>
        </w:rPr>
        <w:t xml:space="preserve">ing the rights and freedoms of its people. </w:t>
      </w:r>
      <w:r w:rsidR="00DE24E9">
        <w:rPr>
          <w:rFonts w:ascii="Calibri" w:hAnsi="Calibri" w:cs="Calibri"/>
          <w:b/>
          <w:bCs/>
          <w:kern w:val="0"/>
          <w:sz w:val="22"/>
          <w:szCs w:val="22"/>
          <w14:ligatures w14:val="none"/>
        </w:rPr>
        <w:t>T</w:t>
      </w:r>
      <w:r w:rsidRPr="00366EE1">
        <w:rPr>
          <w:rFonts w:ascii="Calibri" w:hAnsi="Calibri" w:cs="Calibri"/>
          <w:b/>
          <w:bCs/>
          <w:kern w:val="0"/>
          <w:sz w:val="22"/>
          <w:szCs w:val="22"/>
          <w14:ligatures w14:val="none"/>
        </w:rPr>
        <w:t>hrough decades of technological innovation and industrial investment</w:t>
      </w:r>
      <w:r w:rsidR="00DE24E9">
        <w:rPr>
          <w:rFonts w:ascii="Calibri" w:hAnsi="Calibri" w:cs="Calibri"/>
          <w:b/>
          <w:bCs/>
          <w:kern w:val="0"/>
          <w:sz w:val="22"/>
          <w:szCs w:val="22"/>
          <w14:ligatures w14:val="none"/>
        </w:rPr>
        <w:t xml:space="preserve">, Taiwan has become a global leader in advanced semiconductor manufacturing and a significant contributor to the international economy. </w:t>
      </w:r>
      <w:r w:rsidR="00395988">
        <w:rPr>
          <w:rFonts w:ascii="Calibri" w:hAnsi="Calibri" w:cs="Calibri"/>
          <w:b/>
          <w:bCs/>
          <w:kern w:val="0"/>
          <w:sz w:val="22"/>
          <w:szCs w:val="22"/>
          <w14:ligatures w14:val="none"/>
        </w:rPr>
        <w:t>The Ministry of Foreign Affairs is committed to protecting Taiwan’s national interests and strengthening its relationships within the international community.</w:t>
      </w:r>
      <w:r w:rsidR="00DE24E9">
        <w:rPr>
          <w:rFonts w:ascii="Calibri" w:hAnsi="Calibri" w:cs="Calibri"/>
          <w:b/>
          <w:bCs/>
          <w:kern w:val="0"/>
          <w:sz w:val="22"/>
          <w:szCs w:val="22"/>
          <w14:ligatures w14:val="none"/>
        </w:rPr>
        <w:t xml:space="preserve"> To </w:t>
      </w:r>
      <w:r w:rsidR="00395988">
        <w:rPr>
          <w:rFonts w:ascii="Calibri" w:hAnsi="Calibri" w:cs="Calibri"/>
          <w:b/>
          <w:bCs/>
          <w:kern w:val="0"/>
          <w:sz w:val="22"/>
          <w:szCs w:val="22"/>
          <w14:ligatures w14:val="none"/>
        </w:rPr>
        <w:t xml:space="preserve">advance </w:t>
      </w:r>
      <w:r w:rsidR="00DE24E9">
        <w:rPr>
          <w:rFonts w:ascii="Calibri" w:hAnsi="Calibri" w:cs="Calibri"/>
          <w:b/>
          <w:bCs/>
          <w:kern w:val="0"/>
          <w:sz w:val="22"/>
          <w:szCs w:val="22"/>
          <w14:ligatures w14:val="none"/>
        </w:rPr>
        <w:t>these commitments</w:t>
      </w:r>
      <w:r w:rsidR="00395988">
        <w:rPr>
          <w:rFonts w:ascii="Calibri" w:hAnsi="Calibri" w:cs="Calibri"/>
          <w:b/>
          <w:bCs/>
          <w:kern w:val="0"/>
          <w:sz w:val="22"/>
          <w:szCs w:val="22"/>
          <w14:ligatures w14:val="none"/>
        </w:rPr>
        <w:t>, we</w:t>
      </w:r>
      <w:r w:rsidR="00DE24E9">
        <w:rPr>
          <w:rFonts w:ascii="Calibri" w:hAnsi="Calibri" w:cs="Calibri"/>
          <w:b/>
          <w:bCs/>
          <w:kern w:val="0"/>
          <w:sz w:val="22"/>
          <w:szCs w:val="22"/>
          <w14:ligatures w14:val="none"/>
        </w:rPr>
        <w:t xml:space="preserve"> will pursue the following objectives:</w:t>
      </w:r>
    </w:p>
    <w:p w14:paraId="6620D215" w14:textId="17723356" w:rsidR="00AE367E" w:rsidRPr="00366EE1" w:rsidRDefault="00AE367E" w:rsidP="00AE367E">
      <w:pPr>
        <w:pStyle w:val="ListParagraph"/>
        <w:numPr>
          <w:ilvl w:val="0"/>
          <w:numId w:val="2"/>
        </w:numPr>
        <w:rPr>
          <w:rFonts w:ascii="Calibri" w:hAnsi="Calibri" w:cs="Calibri"/>
          <w:sz w:val="22"/>
          <w:szCs w:val="22"/>
        </w:rPr>
      </w:pPr>
      <w:r w:rsidRPr="00366EE1">
        <w:rPr>
          <w:rFonts w:ascii="Calibri" w:hAnsi="Calibri" w:cs="Calibri"/>
          <w:sz w:val="22"/>
          <w:szCs w:val="22"/>
        </w:rPr>
        <w:t>Preserving</w:t>
      </w:r>
      <w:r w:rsidR="00AE0900" w:rsidRPr="00366EE1">
        <w:rPr>
          <w:rFonts w:ascii="Calibri" w:hAnsi="Calibri" w:cs="Calibri"/>
          <w:sz w:val="22"/>
          <w:szCs w:val="22"/>
        </w:rPr>
        <w:t xml:space="preserve"> Taiwan’s Sovereignty</w:t>
      </w:r>
      <w:r w:rsidRPr="00366EE1">
        <w:rPr>
          <w:rFonts w:ascii="Calibri" w:hAnsi="Calibri" w:cs="Calibri"/>
          <w:sz w:val="22"/>
          <w:szCs w:val="22"/>
        </w:rPr>
        <w:t>:</w:t>
      </w:r>
    </w:p>
    <w:p w14:paraId="62C469B9" w14:textId="74BD6246" w:rsidR="00AE367E" w:rsidRDefault="00AE367E" w:rsidP="00AE367E">
      <w:pPr>
        <w:pStyle w:val="ListParagraph"/>
        <w:rPr>
          <w:rFonts w:ascii="Calibri" w:hAnsi="Calibri" w:cs="Calibri"/>
          <w:sz w:val="20"/>
          <w:szCs w:val="20"/>
        </w:rPr>
      </w:pPr>
      <w:r w:rsidRPr="00366EE1">
        <w:rPr>
          <w:rFonts w:ascii="Calibri" w:hAnsi="Calibri" w:cs="Calibri"/>
          <w:sz w:val="20"/>
          <w:szCs w:val="20"/>
        </w:rPr>
        <w:t xml:space="preserve">Taiwan remains committed to preserving the current political arrangements across the Taiwan Strait while firmly opposing any attempt to alter them by military coercion. We will continue diplomatic engagement and strengthen our defensive readiness to deter aggression without provoking unnecessary confrontation. </w:t>
      </w:r>
    </w:p>
    <w:p w14:paraId="6098C072" w14:textId="77777777" w:rsidR="00366EE1" w:rsidRPr="00366EE1" w:rsidRDefault="00366EE1" w:rsidP="00AE367E">
      <w:pPr>
        <w:pStyle w:val="ListParagraph"/>
        <w:rPr>
          <w:rFonts w:ascii="Calibri" w:hAnsi="Calibri" w:cs="Calibri"/>
          <w:sz w:val="20"/>
          <w:szCs w:val="20"/>
        </w:rPr>
      </w:pPr>
    </w:p>
    <w:p w14:paraId="01296F65" w14:textId="0DCB1F4D" w:rsidR="00AE367E" w:rsidRPr="00366EE1" w:rsidRDefault="00323C0A" w:rsidP="00AE367E">
      <w:pPr>
        <w:pStyle w:val="ListParagraph"/>
        <w:numPr>
          <w:ilvl w:val="0"/>
          <w:numId w:val="2"/>
        </w:numPr>
        <w:rPr>
          <w:rFonts w:ascii="Calibri" w:hAnsi="Calibri" w:cs="Calibri"/>
          <w:sz w:val="22"/>
          <w:szCs w:val="22"/>
        </w:rPr>
      </w:pPr>
      <w:r w:rsidRPr="00366EE1">
        <w:rPr>
          <w:rFonts w:ascii="Calibri" w:hAnsi="Calibri" w:cs="Calibri"/>
          <w:sz w:val="22"/>
          <w:szCs w:val="22"/>
        </w:rPr>
        <w:t xml:space="preserve">Strengthening </w:t>
      </w:r>
      <w:r w:rsidR="00AE0900" w:rsidRPr="00366EE1">
        <w:rPr>
          <w:rFonts w:ascii="Calibri" w:hAnsi="Calibri" w:cs="Calibri"/>
          <w:sz w:val="22"/>
          <w:szCs w:val="22"/>
        </w:rPr>
        <w:t>U.S. Defense Cooperation:</w:t>
      </w:r>
    </w:p>
    <w:p w14:paraId="4F500DEA" w14:textId="2F77B34A" w:rsidR="00323C0A" w:rsidRDefault="00323C0A" w:rsidP="00323C0A">
      <w:pPr>
        <w:pStyle w:val="ListParagraph"/>
        <w:rPr>
          <w:rFonts w:ascii="Calibri" w:hAnsi="Calibri" w:cs="Calibri"/>
          <w:sz w:val="20"/>
          <w:szCs w:val="20"/>
        </w:rPr>
      </w:pPr>
      <w:r w:rsidRPr="00366EE1">
        <w:rPr>
          <w:rFonts w:ascii="Calibri" w:hAnsi="Calibri" w:cs="Calibri"/>
          <w:sz w:val="20"/>
          <w:szCs w:val="20"/>
        </w:rPr>
        <w:t>We will continue to purchase defensive military equipment from the United States to strengthen Taiwan’s military readiness. A measured procurement approach will improve our ability to deter Chinese aggression without unnecessarily escalating tensions across the Taiwan Strait.</w:t>
      </w:r>
    </w:p>
    <w:p w14:paraId="46D3E31E" w14:textId="77777777" w:rsidR="00366EE1" w:rsidRPr="00366EE1" w:rsidRDefault="00366EE1" w:rsidP="00323C0A">
      <w:pPr>
        <w:pStyle w:val="ListParagraph"/>
        <w:rPr>
          <w:rFonts w:ascii="Calibri" w:hAnsi="Calibri" w:cs="Calibri"/>
          <w:sz w:val="20"/>
          <w:szCs w:val="20"/>
        </w:rPr>
      </w:pPr>
    </w:p>
    <w:p w14:paraId="44DE0E8A" w14:textId="029064D0" w:rsidR="00323C0A" w:rsidRPr="00366EE1" w:rsidRDefault="00323C0A" w:rsidP="00323C0A">
      <w:pPr>
        <w:pStyle w:val="ListParagraph"/>
        <w:numPr>
          <w:ilvl w:val="0"/>
          <w:numId w:val="2"/>
        </w:numPr>
        <w:rPr>
          <w:rFonts w:ascii="Calibri" w:hAnsi="Calibri" w:cs="Calibri"/>
          <w:sz w:val="22"/>
          <w:szCs w:val="22"/>
        </w:rPr>
      </w:pPr>
      <w:r w:rsidRPr="00366EE1">
        <w:rPr>
          <w:rFonts w:ascii="Calibri" w:hAnsi="Calibri" w:cs="Calibri"/>
          <w:sz w:val="22"/>
          <w:szCs w:val="22"/>
        </w:rPr>
        <w:t xml:space="preserve">Expanding International </w:t>
      </w:r>
      <w:r w:rsidR="00AE0900" w:rsidRPr="00366EE1">
        <w:rPr>
          <w:rFonts w:ascii="Calibri" w:hAnsi="Calibri" w:cs="Calibri"/>
          <w:sz w:val="22"/>
          <w:szCs w:val="22"/>
        </w:rPr>
        <w:t>Participation:</w:t>
      </w:r>
    </w:p>
    <w:p w14:paraId="5B0C4A1E" w14:textId="249DBE73" w:rsidR="00323C0A" w:rsidRDefault="00AF2E4A" w:rsidP="00323C0A">
      <w:pPr>
        <w:pStyle w:val="ListParagraph"/>
        <w:rPr>
          <w:rFonts w:ascii="Calibri" w:hAnsi="Calibri" w:cs="Calibri"/>
          <w:kern w:val="0"/>
          <w:sz w:val="20"/>
          <w:szCs w:val="20"/>
          <w14:ligatures w14:val="none"/>
        </w:rPr>
      </w:pPr>
      <w:r w:rsidRPr="00366EE1">
        <w:rPr>
          <w:rFonts w:ascii="Calibri" w:hAnsi="Calibri" w:cs="Calibri"/>
          <w:kern w:val="0"/>
          <w:sz w:val="20"/>
          <w:szCs w:val="20"/>
          <w14:ligatures w14:val="none"/>
        </w:rPr>
        <w:t>Meaningful participation in international organizations is essential to strengthening Taiwan’s diplomatic relationships and enhancing its contributions to global cooperation. We encourage greater international support for Taiwan’s involvement in these institutions to build lasting partnerships and create opportunities for future diplomatic recognition.</w:t>
      </w:r>
    </w:p>
    <w:p w14:paraId="6C0CF0BC" w14:textId="77777777" w:rsidR="00366EE1" w:rsidRPr="00366EE1" w:rsidRDefault="00366EE1" w:rsidP="00323C0A">
      <w:pPr>
        <w:pStyle w:val="ListParagraph"/>
        <w:rPr>
          <w:rFonts w:ascii="Calibri" w:hAnsi="Calibri" w:cs="Calibri"/>
          <w:kern w:val="0"/>
          <w:sz w:val="20"/>
          <w:szCs w:val="20"/>
          <w14:ligatures w14:val="none"/>
        </w:rPr>
      </w:pPr>
    </w:p>
    <w:p w14:paraId="2703E917" w14:textId="7878446C" w:rsidR="00AF2E4A" w:rsidRPr="00366EE1" w:rsidRDefault="00AF2E4A" w:rsidP="00AF2E4A">
      <w:pPr>
        <w:pStyle w:val="ListParagraph"/>
        <w:numPr>
          <w:ilvl w:val="0"/>
          <w:numId w:val="2"/>
        </w:numPr>
        <w:rPr>
          <w:rFonts w:ascii="Calibri" w:hAnsi="Calibri" w:cs="Calibri"/>
          <w:sz w:val="22"/>
          <w:szCs w:val="22"/>
        </w:rPr>
      </w:pPr>
      <w:r w:rsidRPr="00366EE1">
        <w:rPr>
          <w:rFonts w:ascii="Calibri" w:hAnsi="Calibri" w:cs="Calibri"/>
          <w:sz w:val="22"/>
          <w:szCs w:val="22"/>
        </w:rPr>
        <w:t>Protecting Taiwan’s Semiconductor Industry</w:t>
      </w:r>
      <w:r w:rsidR="00AE0900" w:rsidRPr="00366EE1">
        <w:rPr>
          <w:rFonts w:ascii="Calibri" w:hAnsi="Calibri" w:cs="Calibri"/>
          <w:sz w:val="22"/>
          <w:szCs w:val="22"/>
        </w:rPr>
        <w:t>:</w:t>
      </w:r>
    </w:p>
    <w:p w14:paraId="4D4C8CCE" w14:textId="49FF88E4" w:rsidR="00AF2E4A" w:rsidRPr="00366EE1" w:rsidRDefault="00AF2E4A" w:rsidP="00AF2E4A">
      <w:pPr>
        <w:pStyle w:val="ListParagraph"/>
        <w:rPr>
          <w:rFonts w:ascii="Calibri" w:hAnsi="Calibri" w:cs="Calibri"/>
          <w:sz w:val="22"/>
          <w:szCs w:val="22"/>
        </w:rPr>
      </w:pPr>
      <w:r w:rsidRPr="00366EE1">
        <w:rPr>
          <w:rFonts w:ascii="Calibri" w:hAnsi="Calibri" w:cs="Calibri"/>
          <w:sz w:val="22"/>
          <w:szCs w:val="22"/>
        </w:rPr>
        <w:t>Taiwan’s semiconductor industry is essential to global technological development, making its security a matter of international concern. Protecting domestic manufacturing and maintaining reliable supply chains require cooperation with trading partners to prevent disruptions that could affect the global economy.</w:t>
      </w:r>
    </w:p>
    <w:p w14:paraId="310D3493" w14:textId="4131ECF0" w:rsidR="00AF2E4A" w:rsidRPr="00366EE1" w:rsidRDefault="001D7EBC" w:rsidP="00AF2E4A">
      <w:pPr>
        <w:pStyle w:val="ListParagraph"/>
        <w:numPr>
          <w:ilvl w:val="0"/>
          <w:numId w:val="2"/>
        </w:numPr>
        <w:rPr>
          <w:rFonts w:ascii="Calibri" w:hAnsi="Calibri" w:cs="Calibri"/>
          <w:sz w:val="22"/>
          <w:szCs w:val="22"/>
        </w:rPr>
      </w:pPr>
      <w:r>
        <w:rPr>
          <w:rFonts w:ascii="Calibri" w:hAnsi="Calibri" w:cs="Calibri"/>
          <w:sz w:val="22"/>
          <w:szCs w:val="22"/>
        </w:rPr>
        <w:lastRenderedPageBreak/>
        <w:t>Advancing</w:t>
      </w:r>
      <w:r w:rsidR="00AF2E4A" w:rsidRPr="00366EE1">
        <w:rPr>
          <w:rFonts w:ascii="Calibri" w:hAnsi="Calibri" w:cs="Calibri"/>
          <w:sz w:val="22"/>
          <w:szCs w:val="22"/>
        </w:rPr>
        <w:t xml:space="preserve"> Regional Cooperation</w:t>
      </w:r>
      <w:r w:rsidR="00AE0900" w:rsidRPr="00366EE1">
        <w:rPr>
          <w:rFonts w:ascii="Calibri" w:hAnsi="Calibri" w:cs="Calibri"/>
          <w:sz w:val="22"/>
          <w:szCs w:val="22"/>
        </w:rPr>
        <w:t>:</w:t>
      </w:r>
    </w:p>
    <w:p w14:paraId="39A37C00" w14:textId="3022C22E" w:rsidR="00AE0900" w:rsidRPr="00366EE1" w:rsidRDefault="00AE0900" w:rsidP="00AE0900">
      <w:pPr>
        <w:pStyle w:val="ListParagraph"/>
        <w:rPr>
          <w:rFonts w:ascii="Calibri" w:hAnsi="Calibri" w:cs="Calibri"/>
          <w:sz w:val="20"/>
          <w:szCs w:val="20"/>
        </w:rPr>
      </w:pPr>
      <w:r w:rsidRPr="00366EE1">
        <w:rPr>
          <w:rFonts w:ascii="Calibri" w:hAnsi="Calibri" w:cs="Calibri"/>
          <w:sz w:val="20"/>
          <w:szCs w:val="20"/>
        </w:rPr>
        <w:t>Closer cooperation with Japan and the Philippines is essential to maintaining stability throughout the Indo-Pacific. Taiwan seeks to expand diplomatic and economic engagement with regional partners while encouraging greater coordination on shared security concerns.</w:t>
      </w:r>
    </w:p>
    <w:sectPr w:rsidR="00AE0900" w:rsidRPr="00366E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727BC5"/>
    <w:multiLevelType w:val="hybridMultilevel"/>
    <w:tmpl w:val="3B964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573C54"/>
    <w:multiLevelType w:val="hybridMultilevel"/>
    <w:tmpl w:val="ADD68E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9080077">
    <w:abstractNumId w:val="0"/>
  </w:num>
  <w:num w:numId="2" w16cid:durableId="73285089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A96"/>
    <w:rsid w:val="00031026"/>
    <w:rsid w:val="00066F76"/>
    <w:rsid w:val="0011381D"/>
    <w:rsid w:val="001D7EBC"/>
    <w:rsid w:val="002D06A8"/>
    <w:rsid w:val="00323C0A"/>
    <w:rsid w:val="00366EE1"/>
    <w:rsid w:val="00395988"/>
    <w:rsid w:val="0040184F"/>
    <w:rsid w:val="005D32CE"/>
    <w:rsid w:val="009B5577"/>
    <w:rsid w:val="00AB6927"/>
    <w:rsid w:val="00AE0900"/>
    <w:rsid w:val="00AE367E"/>
    <w:rsid w:val="00AF2E4A"/>
    <w:rsid w:val="00B24CA2"/>
    <w:rsid w:val="00CC22E1"/>
    <w:rsid w:val="00D11A96"/>
    <w:rsid w:val="00DE24E9"/>
    <w:rsid w:val="00ED1E58"/>
    <w:rsid w:val="00F97E84"/>
    <w:rsid w:val="00FB3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06931"/>
  <w15:chartTrackingRefBased/>
  <w15:docId w15:val="{2D2CD3CE-492D-AC4D-8C4D-961131CD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1A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1A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1A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1A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1A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1A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A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A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A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A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1A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1A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1A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1A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1A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A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A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A96"/>
    <w:rPr>
      <w:rFonts w:eastAsiaTheme="majorEastAsia" w:cstheme="majorBidi"/>
      <w:color w:val="272727" w:themeColor="text1" w:themeTint="D8"/>
    </w:rPr>
  </w:style>
  <w:style w:type="paragraph" w:styleId="Title">
    <w:name w:val="Title"/>
    <w:basedOn w:val="Normal"/>
    <w:next w:val="Normal"/>
    <w:link w:val="TitleChar"/>
    <w:uiPriority w:val="10"/>
    <w:qFormat/>
    <w:rsid w:val="00D11A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A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A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A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A96"/>
    <w:pPr>
      <w:spacing w:before="160"/>
      <w:jc w:val="center"/>
    </w:pPr>
    <w:rPr>
      <w:i/>
      <w:iCs/>
      <w:color w:val="404040" w:themeColor="text1" w:themeTint="BF"/>
    </w:rPr>
  </w:style>
  <w:style w:type="character" w:customStyle="1" w:styleId="QuoteChar">
    <w:name w:val="Quote Char"/>
    <w:basedOn w:val="DefaultParagraphFont"/>
    <w:link w:val="Quote"/>
    <w:uiPriority w:val="29"/>
    <w:rsid w:val="00D11A96"/>
    <w:rPr>
      <w:i/>
      <w:iCs/>
      <w:color w:val="404040" w:themeColor="text1" w:themeTint="BF"/>
    </w:rPr>
  </w:style>
  <w:style w:type="paragraph" w:styleId="ListParagraph">
    <w:name w:val="List Paragraph"/>
    <w:basedOn w:val="Normal"/>
    <w:uiPriority w:val="34"/>
    <w:qFormat/>
    <w:rsid w:val="00D11A96"/>
    <w:pPr>
      <w:ind w:left="720"/>
      <w:contextualSpacing/>
    </w:pPr>
  </w:style>
  <w:style w:type="character" w:styleId="IntenseEmphasis">
    <w:name w:val="Intense Emphasis"/>
    <w:basedOn w:val="DefaultParagraphFont"/>
    <w:uiPriority w:val="21"/>
    <w:qFormat/>
    <w:rsid w:val="00D11A96"/>
    <w:rPr>
      <w:i/>
      <w:iCs/>
      <w:color w:val="0F4761" w:themeColor="accent1" w:themeShade="BF"/>
    </w:rPr>
  </w:style>
  <w:style w:type="paragraph" w:styleId="IntenseQuote">
    <w:name w:val="Intense Quote"/>
    <w:basedOn w:val="Normal"/>
    <w:next w:val="Normal"/>
    <w:link w:val="IntenseQuoteChar"/>
    <w:uiPriority w:val="30"/>
    <w:qFormat/>
    <w:rsid w:val="00D11A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1A96"/>
    <w:rPr>
      <w:i/>
      <w:iCs/>
      <w:color w:val="0F4761" w:themeColor="accent1" w:themeShade="BF"/>
    </w:rPr>
  </w:style>
  <w:style w:type="character" w:styleId="IntenseReference">
    <w:name w:val="Intense Reference"/>
    <w:basedOn w:val="DefaultParagraphFont"/>
    <w:uiPriority w:val="32"/>
    <w:qFormat/>
    <w:rsid w:val="00D11A96"/>
    <w:rPr>
      <w:b/>
      <w:bCs/>
      <w:smallCaps/>
      <w:color w:val="0F4761" w:themeColor="accent1" w:themeShade="BF"/>
      <w:spacing w:val="5"/>
    </w:rPr>
  </w:style>
  <w:style w:type="character" w:styleId="Hyperlink">
    <w:name w:val="Hyperlink"/>
    <w:basedOn w:val="DefaultParagraphFont"/>
    <w:uiPriority w:val="99"/>
    <w:unhideWhenUsed/>
    <w:rsid w:val="002D06A8"/>
    <w:rPr>
      <w:color w:val="467886" w:themeColor="hyperlink"/>
      <w:u w:val="single"/>
    </w:rPr>
  </w:style>
  <w:style w:type="character" w:styleId="UnresolvedMention">
    <w:name w:val="Unresolved Mention"/>
    <w:basedOn w:val="DefaultParagraphFont"/>
    <w:uiPriority w:val="99"/>
    <w:semiHidden/>
    <w:unhideWhenUsed/>
    <w:rsid w:val="002D06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Office_of_the_President_(Taiwa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360</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 Boatman</dc:creator>
  <cp:keywords/>
  <dc:description/>
  <cp:lastModifiedBy>Tori Boatman</cp:lastModifiedBy>
  <cp:revision>2</cp:revision>
  <dcterms:created xsi:type="dcterms:W3CDTF">2026-11-05T10:07:00Z</dcterms:created>
  <dcterms:modified xsi:type="dcterms:W3CDTF">2026-11-05T10:07:00Z</dcterms:modified>
</cp:coreProperties>
</file>